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B8" w:rsidRPr="004422B8" w:rsidRDefault="004422B8" w:rsidP="004422B8">
      <w:pPr>
        <w:widowControl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4422B8">
        <w:rPr>
          <w:rFonts w:asciiTheme="majorEastAsia" w:eastAsiaTheme="majorEastAsia" w:hAnsiTheme="majorEastAsia" w:cs="Tahoma"/>
          <w:b/>
          <w:color w:val="000000"/>
          <w:kern w:val="0"/>
          <w:sz w:val="36"/>
          <w:szCs w:val="36"/>
        </w:rPr>
        <w:t>云南电网有限责任公司昆明供电局（设备部）3月份授权自采物资的招标（标3:昆明供电局110kV桃源GIS解体大修招标）(三次)公开招标招标公告</w:t>
      </w:r>
    </w:p>
    <w:p w:rsidR="004422B8" w:rsidRPr="004422B8" w:rsidRDefault="004422B8" w:rsidP="004422B8">
      <w:pPr>
        <w:widowControl/>
        <w:spacing w:before="75" w:after="75" w:line="270" w:lineRule="atLeast"/>
        <w:jc w:val="left"/>
        <w:rPr>
          <w:rFonts w:asciiTheme="minorEastAsia" w:hAnsiTheme="minorEastAsia" w:cs="Tahoma" w:hint="eastAsia"/>
          <w:color w:val="000000"/>
          <w:kern w:val="0"/>
          <w:sz w:val="24"/>
          <w:szCs w:val="24"/>
        </w:rPr>
      </w:pP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1.1招标条件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“云南电网有限责任公司昆明供电局（设备部）3月份授权自采物资的招标（标3:昆明供电局110kV桃源GIS解体大修招标）(三次)”项目已获批准，招标人为云南电网有限责任公司昆明供电局，招标代理机构为云南中咨海外咨询有限公司。项目已具备招标条件，现进行公开招标，特邀请有兴趣的潜在投标人参加投标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1.2项目概况与招标范围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 w:hint="eastAsi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1.2.1招标范围：昆明供电局110kV桃源GIS解体大修招标（专项招标）（接受代理商），供方提供的备品备件型号、规格、数量及要求见下表，但不仅限于下述型号，由供方提供备件型号，以及提供相关备品备件详细清单</w:t>
      </w:r>
    </w:p>
    <w:tbl>
      <w:tblPr>
        <w:tblW w:w="9122" w:type="dxa"/>
        <w:tblInd w:w="93" w:type="dxa"/>
        <w:tblLook w:val="04A0"/>
      </w:tblPr>
      <w:tblGrid>
        <w:gridCol w:w="975"/>
        <w:gridCol w:w="2832"/>
        <w:gridCol w:w="2507"/>
        <w:gridCol w:w="1137"/>
        <w:gridCol w:w="1671"/>
      </w:tblGrid>
      <w:tr w:rsidR="004422B8" w:rsidRPr="004422B8" w:rsidTr="00BB0044">
        <w:trPr>
          <w:trHeight w:val="43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备件类型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项目预估金额</w:t>
            </w: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盆式绝缘子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300</w:t>
            </w:r>
            <w:r w:rsidRPr="004422B8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>万</w:t>
            </w: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绝缘拉杆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本体密封组件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分子筛、吸附剂套件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本体防爆装置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DTH7</w:t>
            </w:r>
            <w:r w:rsidRPr="004422B8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>液压机构高低压油管维护组件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DTH7</w:t>
            </w:r>
            <w:r w:rsidRPr="004422B8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>液压机构分合闸线圈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DHT7</w:t>
            </w:r>
            <w:r w:rsidRPr="004422B8">
              <w:rPr>
                <w:rFonts w:asciiTheme="minorEastAsia" w:hAnsiTheme="minorEastAsia" w:cs="Tahoma" w:hint="eastAsia"/>
                <w:color w:val="000000"/>
                <w:kern w:val="0"/>
                <w:szCs w:val="21"/>
              </w:rPr>
              <w:t>液压机构油路密封组件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汇控箱二次回路改造元器件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本体紧固件套件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4422B8" w:rsidRPr="004422B8" w:rsidTr="00BB0044">
        <w:trPr>
          <w:trHeight w:val="43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大修耗材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4422B8" w:rsidRDefault="004422B8" w:rsidP="0044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422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B8" w:rsidRPr="004422B8" w:rsidRDefault="004422B8" w:rsidP="004422B8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</w:tbl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投标人必须对所投标段物资进行整体投标。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1.2.2质量标准及要求：见技术规范书。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1.2.3交货期：满足业主要求。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lastRenderedPageBreak/>
        <w:t>1.2.4项目地点：招标人指定的交货地点。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1.3投标人资格要求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1.中华人民共和国境内注册合法设立有效续存的企业法人，具有独立承担民事责任的能力、独立承担招标项目的能力和独立履行合同的能力；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2. 具备一般纳税人资格；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3.能提供在有效期内的营业执照或企业法人营业执照；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4.能提供有效的组织机构代码证和税务登记证；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5.投标人需提供企业注册地检察机关出具的行贿犯罪档案查询函；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6.代理商投标的须提供投标产品的原厂家授权或明确投标产品的品牌；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7.具有良好的财务状况和商业信用(提供相关证明)；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8.不接受联合体投标。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1.4资格审查方法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本项目资格审查方式采用资格后审，合格制。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1.5招标文件的获取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1.5.1请申请人于2016年7月22日至2016年7月28日（法定公休日、法定节假日除外），每日上午9：00时至12：00时，下午14：00时至17：00时（北京时间，下同），在昆明市春城路59号招标中心201室，持营业执照（盖公章的复印件）、一般纳税人资格证明材料（盖公章的复印件）、法定代表人证明书（原件）、法定代表人身份证(盖公章的复印件)及法定代表人授权委托书（原件）和被授权人身份证（原件及盖公章的复印件）购买招标文件。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1.5.2 招标文件每本售价800.00元，售后不退。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1.6投标文件的递交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1.6.1递交投标文件截止时间为：2016年8月11日9时30分，地点为：昆明市春城路59号招标中心502室开标厅投标文件递交处。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1.6.2 逾期送达或者未送达指定地点的投标文件，招标代理机构不予受理。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1.7发布公告的媒介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lastRenderedPageBreak/>
        <w:t>本次招标公告在《中国采购与招标网》（http://chinabidding.com.cn）、中国南方电网有限责任公司阳光电子商务平台(www.bidding.csg.cn)上发布，我公司对其他网站或媒体转载的公告及公告内容不承担任何责任。</w:t>
      </w:r>
    </w:p>
    <w:p w:rsidR="004422B8" w:rsidRPr="004422B8" w:rsidRDefault="004422B8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1.8联系方式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招 标 人：云南电网有限责任公司昆明供电局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监督电话：0871－63068012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招标代理机构：云南中咨海外咨询有限公司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地址：昆明市前兴路中天融域17幢1单元4楼（前兴路与广福路交叉路口）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购买招标文件联系人：丁章娅</w:t>
      </w:r>
      <w:r w:rsidRPr="004422B8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 xml:space="preserve"> </w:t>
      </w: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李斌</w:t>
      </w:r>
      <w:r w:rsidRPr="004422B8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 xml:space="preserve"> </w:t>
      </w: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电话：0871-63064887、63064883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本项目负责人：丁章娅</w:t>
      </w:r>
      <w:r w:rsidRPr="004422B8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 xml:space="preserve"> </w:t>
      </w: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李斌</w:t>
      </w:r>
      <w:r w:rsidRPr="004422B8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 xml:space="preserve"> </w:t>
      </w: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电话：0871-63064887、63064883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传真：0871-63107005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开户银行：工商银行南市区支行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帐号：2502025019200136802</w:t>
      </w:r>
    </w:p>
    <w:p w:rsidR="004422B8" w:rsidRPr="004422B8" w:rsidRDefault="004422B8" w:rsidP="004422B8">
      <w:pPr>
        <w:widowControl/>
        <w:spacing w:line="360" w:lineRule="auto"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4422B8">
        <w:rPr>
          <w:rFonts w:asciiTheme="minorEastAsia" w:hAnsiTheme="minorEastAsia" w:cs="Tahoma"/>
          <w:color w:val="000000"/>
          <w:kern w:val="0"/>
          <w:sz w:val="24"/>
          <w:szCs w:val="24"/>
        </w:rPr>
        <w:t>邮箱：ynzz2016@163.com</w:t>
      </w:r>
    </w:p>
    <w:p w:rsidR="00110034" w:rsidRPr="004422B8" w:rsidRDefault="00110034" w:rsidP="004422B8">
      <w:pPr>
        <w:widowControl/>
        <w:spacing w:beforeLines="50" w:after="100" w:afterAutospacing="1" w:line="480" w:lineRule="auto"/>
        <w:jc w:val="left"/>
        <w:rPr>
          <w:rFonts w:asciiTheme="minorEastAsia" w:hAnsiTheme="minorEastAsia"/>
          <w:sz w:val="24"/>
          <w:szCs w:val="24"/>
        </w:rPr>
      </w:pPr>
    </w:p>
    <w:sectPr w:rsidR="00110034" w:rsidRPr="004422B8" w:rsidSect="004422B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34" w:rsidRDefault="00110034" w:rsidP="004422B8">
      <w:r>
        <w:separator/>
      </w:r>
    </w:p>
  </w:endnote>
  <w:endnote w:type="continuationSeparator" w:id="1">
    <w:p w:rsidR="00110034" w:rsidRDefault="00110034" w:rsidP="00442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34" w:rsidRDefault="00110034" w:rsidP="004422B8">
      <w:r>
        <w:separator/>
      </w:r>
    </w:p>
  </w:footnote>
  <w:footnote w:type="continuationSeparator" w:id="1">
    <w:p w:rsidR="00110034" w:rsidRDefault="00110034" w:rsidP="00442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2B8"/>
    <w:rsid w:val="00110034"/>
    <w:rsid w:val="004422B8"/>
    <w:rsid w:val="00BB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2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2B8"/>
    <w:rPr>
      <w:sz w:val="18"/>
      <w:szCs w:val="18"/>
    </w:rPr>
  </w:style>
  <w:style w:type="character" w:customStyle="1" w:styleId="apple-converted-space">
    <w:name w:val="apple-converted-space"/>
    <w:basedOn w:val="a0"/>
    <w:rsid w:val="004422B8"/>
  </w:style>
  <w:style w:type="character" w:styleId="a5">
    <w:name w:val="Hyperlink"/>
    <w:basedOn w:val="a0"/>
    <w:uiPriority w:val="99"/>
    <w:semiHidden/>
    <w:unhideWhenUsed/>
    <w:rsid w:val="004422B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42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2016-07-26T03:30:00Z</dcterms:created>
  <dcterms:modified xsi:type="dcterms:W3CDTF">2016-07-26T03:41:00Z</dcterms:modified>
</cp:coreProperties>
</file>